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rebuchet MS" w:hAnsi="Trebuchet MS" w:cs="Trebuchet MS" w:eastAsia="Trebuchet MS"/>
          <w:b/>
          <w:color w:val="000000"/>
          <w:spacing w:val="0"/>
          <w:position w:val="0"/>
          <w:sz w:val="26"/>
          <w:shd w:fill="auto" w:val="clear"/>
        </w:rPr>
        <w:t xml:space="preserve">Kernpunkte/Zusammenfassung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Arial" w:hAnsi="Arial" w:cs="Arial" w:eastAsia="Arial"/>
          <w:b/>
          <w:color w:val="000000"/>
          <w:spacing w:val="0"/>
          <w:position w:val="0"/>
          <w:sz w:val="20"/>
          <w:shd w:fill="auto" w:val="clear"/>
        </w:rPr>
        <w:t xml:space="preserve">Plattformversagen </w:t>
      </w:r>
      <w:r>
        <w:rPr>
          <w:rFonts w:ascii="Arial" w:hAnsi="Arial" w:cs="Arial" w:eastAsia="Arial"/>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 wie die Städte von Airbnb und anderen Plattformen zur Kurzzeitvermietung fallen gelassen werden</w:t>
      </w:r>
    </w:p>
    <w:p>
      <w:pPr>
        <w:spacing w:before="0" w:after="160" w:line="259"/>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Dieser Bericht zeigt auf, wie Airbnb und vergleichbare Plattformen zur Kurzzeitvermietung Städten die Zusammenarbeit verweigern und belegt, dass es zur Sicherung des Wohnraums konsequenter Regulierungen bedarf.</w:t>
      </w:r>
    </w:p>
    <w:p>
      <w:pPr>
        <w:spacing w:before="0" w:after="160" w:line="259"/>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Darüber hinaus befassen wir uns damit, was das künftige Gesetz über digitale Dienste (Digital Services Act) leisten muss, um das Recht auf Wohnraum in den Städten zu stärken.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Kurzzeitvermietungen wirken sich spürbar und nachweislich auf den Wohnungsmarkt aus</w:t>
      </w:r>
    </w:p>
    <w:p>
      <w:pPr>
        <w:numPr>
          <w:ilvl w:val="0"/>
          <w:numId w:val="2"/>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Amsterdam: In einigen Vierteln wird jede 9. Wohneinheit über Airbnb vermietet</w:t>
      </w:r>
    </w:p>
    <w:p>
      <w:pPr>
        <w:numPr>
          <w:ilvl w:val="0"/>
          <w:numId w:val="2"/>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Barcelona: Die Präsenz von Airbnb sorgt bei Neuvermietungen für eine Verteuerung um 19 % (selbst nach der Kontrolle von Gentrifizierungseffekten)</w:t>
      </w:r>
    </w:p>
    <w:p>
      <w:pPr>
        <w:numPr>
          <w:ilvl w:val="0"/>
          <w:numId w:val="2"/>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New York City: Wegfall von 15.000 Wohnungen aus dem verfügbaren Wohnraumbestand; die auf Airbnb zurückzuführenden Mehrkosten der Mieter*innen beliefen sich 2016 auf mehr als 616 Mio. USD</w:t>
      </w:r>
    </w:p>
    <w:p>
      <w:pPr>
        <w:numPr>
          <w:ilvl w:val="0"/>
          <w:numId w:val="2"/>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Paris: Schrumpfung des verfügbaren Wohnraums um 15.000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25.000 Wohnungen</w:t>
      </w:r>
    </w:p>
    <w:p>
      <w:pPr>
        <w:numPr>
          <w:ilvl w:val="0"/>
          <w:numId w:val="2"/>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Prag: Wegfall von 15.000 Wohnungen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Marktversagen: Wohnungsmarkt + Tourismus </w:t>
      </w:r>
      <w:r>
        <w:rPr>
          <w:rFonts w:ascii="Cambria Math" w:hAnsi="Cambria Math" w:cs="Cambria Math" w:eastAsia="Cambria Math"/>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 Geteilte Nutzung von Privatwohnungen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Das Aufeinandertreffen von Tourismus und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freien“ Wohnungsmärkten führt zu einer massiven kommerziellen Nutzung, wobei die geteilte Nutzung von Wohnraum die Ausnahme bleibt</w:t>
      </w:r>
    </w:p>
    <w:p>
      <w:pPr>
        <w:numPr>
          <w:ilvl w:val="0"/>
          <w:numId w:val="4"/>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Amsterdam: Der Anteil kommerzieller Einkünfte wird auf 87 % geschätzt (durchgehende Kurzzeitvermietung und Immobilienbestände) </w:t>
      </w:r>
    </w:p>
    <w:p>
      <w:pPr>
        <w:numPr>
          <w:ilvl w:val="0"/>
          <w:numId w:val="4"/>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Barcelona: Schätzungsweise 75 % kommerzielle Plattformeinträge</w:t>
      </w:r>
    </w:p>
    <w:p>
      <w:pPr>
        <w:numPr>
          <w:ilvl w:val="0"/>
          <w:numId w:val="4"/>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Prag: Mehr als die Hälfte der über Airbnb angebotenen Wohnungen stammen von Gastgebern mit mehr als einem Eintrag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Die Plattformen verweigern die Zusammenarbeit mit den Städten und profitieren von rechtswidrigen Einträgen</w:t>
      </w:r>
    </w:p>
    <w:p>
      <w:pPr>
        <w:numPr>
          <w:ilvl w:val="0"/>
          <w:numId w:val="6"/>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Amsterdam: Nach einer Verschärfung der städtischen Vorschriften ermöglichte es Airbnb der Stadt nicht länger, eine Obergrenze von 60 Übernachtungen pro Jahr durchzusetzen</w:t>
      </w:r>
    </w:p>
    <w:p>
      <w:pPr>
        <w:numPr>
          <w:ilvl w:val="0"/>
          <w:numId w:val="6"/>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Paris: 60 % der Einträge auf Airbnb sind rechtswidrig</w:t>
      </w:r>
    </w:p>
    <w:p>
      <w:pPr>
        <w:numPr>
          <w:ilvl w:val="0"/>
          <w:numId w:val="6"/>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New York City: 85 % rechtswidrige Airbnb-Einträge</w:t>
      </w:r>
    </w:p>
    <w:p>
      <w:pPr>
        <w:numPr>
          <w:ilvl w:val="0"/>
          <w:numId w:val="6"/>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Wien: Airbnb weigert sich, Sozialwohnungen aus den Einträgen der Plattform zu streichen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Die Plattformen wollen den Anschein der Zusammenarbeit erwecken, um Investoren zu beruhigen, Regulierungen soweit wie möglich abzuwenden und um EU-Regulierungen zur Absicherung ihres Geschäftsmodells zu erhalten.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Zahlreiche Beispiele zeigen, wie die Plattformen die Bemühungen der Städte torpedieren</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Geheimhaltung der Identität der Gastgeber sowie der Standorte rechtswidriger Einträge</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Systematisches Versäumnis, die Identität der Gastgeber und Standortangaben zu überprüfen</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Nicht-Befolgung örtlicher Gesetze, etwa zur sichtbaren Angabe von Registrierungsnummern oder zur Entfernung rechtswidriger Einträge</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Androhung rechtlicher Schritte gegen neue Bestimlungen und Missbrauch des Klagewegs</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Weigerung, Daten bereitzustellen, die zur Durchsetzung von Rechtsvorschriften benötigt werden</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Keine Offenlegung der Geschäftstätigkeit für eingezogene Steuern</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Angebote zur Einziehung von Steuern, um Bestimmungen zum Wohnungsmarkt zu umgehen</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Vorgeschobene Verhandlungsangebote, um Regulierungen abzuwenden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Überraschung“: die Mehrzahl der Verhandlungen bleiben ergebnislos)</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Aufkündigung der wenigen, zustande gekommenen Vereinbarungen, sobald Städte wirksamere Regelwerke erlassen</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Die Umgehung der Selbstregulierungsmechanismen ist ein Kinderspiel (etwa bei jährlichen Obergrenzen und der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ein Gastgeber, eine Unterkunft“-Regel)</w:t>
      </w:r>
    </w:p>
    <w:p>
      <w:pPr>
        <w:numPr>
          <w:ilvl w:val="0"/>
          <w:numId w:val="8"/>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Unterbreitung von bekanntermaßen nicht funktionierenden Regulierungsvorschlägen, um wirksamere Vorschriften hinauszuzögern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Im Rahmen der fortgesetzten Bemühungen der Städte um wirksame Regelwerke haben sich die folgenden drei Komponenten als unverzichtbar erwiesen: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Empfohlene Vorschriften</w:t>
      </w:r>
    </w:p>
    <w:p>
      <w:pPr>
        <w:numPr>
          <w:ilvl w:val="0"/>
          <w:numId w:val="10"/>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Verpflichtendes Registrierungssystem</w:t>
      </w:r>
    </w:p>
    <w:p>
      <w:pPr>
        <w:numPr>
          <w:ilvl w:val="0"/>
          <w:numId w:val="10"/>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Rechenschaftspflicht der Plattformen</w:t>
      </w:r>
    </w:p>
    <w:p>
      <w:pPr>
        <w:numPr>
          <w:ilvl w:val="0"/>
          <w:numId w:val="10"/>
        </w:numPr>
        <w:spacing w:before="0" w:after="160" w:line="259"/>
        <w:ind w:right="0" w:left="720" w:hanging="360"/>
        <w:jc w:val="left"/>
        <w:rPr>
          <w:rFonts w:ascii="Calibri" w:hAnsi="Calibri" w:cs="Calibri" w:eastAsia="Calibri"/>
          <w:color w:val="000000"/>
          <w:spacing w:val="0"/>
          <w:position w:val="0"/>
          <w:sz w:val="20"/>
          <w:shd w:fill="auto" w:val="clear"/>
        </w:rPr>
      </w:pPr>
      <w:r>
        <w:rPr>
          <w:rFonts w:ascii="Arial" w:hAnsi="Arial" w:cs="Arial" w:eastAsia="Arial"/>
          <w:color w:val="000000"/>
          <w:spacing w:val="0"/>
          <w:position w:val="0"/>
          <w:sz w:val="20"/>
          <w:shd w:fill="auto" w:val="clear"/>
        </w:rPr>
        <w:t xml:space="preserve">Offenlegung der Plattformdaten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Das künftige Gesetz über digitale Dienste (Digital Services Act, DSA)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Der Vorschlag für den Digital Services Act muss den Städten weiterhin die Möglichkeit zugestehen, Regulierungen zum Schutz ihrer Wohnungsmärkte zu erlassen und durchzusetzen und hierzu alle geltenden und erforderlichen Regulierungsinstrumente in Betracht zu ziehen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einschließlich der Rechenschaftspflicht der Plattformen und der Offenlegung der Plattformdaten.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0"/>
          <w:shd w:fill="auto" w:val="clear"/>
        </w:rPr>
        <w:t xml:space="preserve">COVID-19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Während die Bewohner*innen der Städte mit voller Wucht von der Covid-19-Pandemie getroffen wurden, hat sich das Geschäft mit Kurzzeitvermietungen als immun erwiesen. Wohl sind die Kurzzeitvermietungen infolge der Pandemie zurückgegangen, doch eine nennenswerte Umwandlung verloren gegangener Wohneinheiten in langfristige Nutzungen war dabei nicht festzustellen.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000000"/>
          <w:spacing w:val="0"/>
          <w:position w:val="0"/>
          <w:sz w:val="20"/>
          <w:shd w:fill="auto" w:val="clear"/>
        </w:rPr>
        <w:t xml:space="preserve">In der Covid-19-Krise und danach bedarf es weiterer Regulierungs- und Kontrollbemühungen, um Anreize zur Rückgabe kurzfristig vermieteter Einheiten an langfristige Bewohner*innen zu schaffen.</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